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C" w:rsidRDefault="006410AC" w:rsidP="006410AC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410AC" w:rsidRDefault="006410AC" w:rsidP="006410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№3</w:t>
      </w:r>
    </w:p>
    <w:p w:rsidR="006410AC" w:rsidRDefault="006410AC" w:rsidP="006410AC"/>
    <w:p w:rsidR="006410AC" w:rsidRDefault="006410AC" w:rsidP="006410AC"/>
    <w:p w:rsidR="006410AC" w:rsidRDefault="006410AC" w:rsidP="006410AC">
      <w:pPr>
        <w:jc w:val="center"/>
      </w:pPr>
      <w:r>
        <w:rPr>
          <w:sz w:val="28"/>
          <w:szCs w:val="28"/>
        </w:rPr>
        <w:t xml:space="preserve">                          </w:t>
      </w:r>
      <w:r>
        <w:t>Утверждаю:</w:t>
      </w:r>
    </w:p>
    <w:p w:rsidR="006410AC" w:rsidRDefault="006410AC" w:rsidP="006410AC">
      <w:pPr>
        <w:jc w:val="center"/>
      </w:pPr>
      <w:r>
        <w:t xml:space="preserve">                                                                       Директор МБОУ ОСОШ №3______</w:t>
      </w:r>
    </w:p>
    <w:p w:rsidR="006410AC" w:rsidRDefault="006410AC" w:rsidP="006410AC">
      <w:pPr>
        <w:jc w:val="center"/>
      </w:pPr>
      <w:r>
        <w:t xml:space="preserve">                                  </w:t>
      </w:r>
      <w:proofErr w:type="spellStart"/>
      <w:r>
        <w:t>М.М.Мыгаль</w:t>
      </w:r>
      <w:proofErr w:type="spellEnd"/>
      <w:r>
        <w:t xml:space="preserve"> </w:t>
      </w:r>
    </w:p>
    <w:p w:rsidR="006410AC" w:rsidRDefault="006410AC" w:rsidP="006410AC">
      <w:pPr>
        <w:jc w:val="center"/>
      </w:pPr>
      <w:r>
        <w:t xml:space="preserve">                                                                Приказ № 314от 01.09. 2022г.</w:t>
      </w:r>
    </w:p>
    <w:p w:rsidR="006410AC" w:rsidRDefault="006410AC" w:rsidP="006410AC">
      <w:pPr>
        <w:rPr>
          <w:sz w:val="28"/>
          <w:szCs w:val="28"/>
        </w:rPr>
      </w:pPr>
    </w:p>
    <w:p w:rsidR="006410AC" w:rsidRDefault="006410AC" w:rsidP="006410AC">
      <w:pPr>
        <w:rPr>
          <w:sz w:val="28"/>
          <w:szCs w:val="28"/>
        </w:rPr>
      </w:pPr>
    </w:p>
    <w:p w:rsidR="006410AC" w:rsidRDefault="006410AC" w:rsidP="006410AC">
      <w:pPr>
        <w:jc w:val="center"/>
        <w:rPr>
          <w:b/>
          <w:sz w:val="28"/>
          <w:szCs w:val="28"/>
        </w:rPr>
      </w:pPr>
    </w:p>
    <w:p w:rsidR="006410AC" w:rsidRDefault="006410AC" w:rsidP="006410AC">
      <w:pPr>
        <w:jc w:val="center"/>
        <w:rPr>
          <w:b/>
          <w:sz w:val="28"/>
          <w:szCs w:val="28"/>
        </w:rPr>
      </w:pPr>
    </w:p>
    <w:p w:rsidR="006410AC" w:rsidRDefault="006410AC" w:rsidP="00641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ОБЩЕОБРАЗОВАТЕЛЬНАЯ</w:t>
      </w:r>
    </w:p>
    <w:p w:rsidR="006410AC" w:rsidRDefault="006410AC" w:rsidP="00641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ОБЩЕРАЗВИВАЮЩАЯ  ПРОГРАММА</w:t>
      </w:r>
    </w:p>
    <w:p w:rsidR="006410AC" w:rsidRDefault="006410AC" w:rsidP="00641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КУРСА  ВНЕУРОЧНОЙ  ДЕЯТЕЛЬНОСТИ</w:t>
      </w:r>
    </w:p>
    <w:p w:rsidR="006410AC" w:rsidRDefault="006410AC" w:rsidP="006410AC">
      <w:pPr>
        <w:rPr>
          <w:b/>
          <w:sz w:val="28"/>
          <w:szCs w:val="28"/>
        </w:rPr>
      </w:pP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410AC" w:rsidRDefault="006410AC" w:rsidP="006410AC">
      <w:pPr>
        <w:rPr>
          <w:sz w:val="28"/>
          <w:szCs w:val="28"/>
        </w:rPr>
      </w:pP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«Шахматная ладья»</w:t>
      </w: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5  класс</w:t>
      </w: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410AC" w:rsidRDefault="006410AC" w:rsidP="006410AC">
      <w:pPr>
        <w:rPr>
          <w:sz w:val="28"/>
          <w:szCs w:val="28"/>
        </w:rPr>
      </w:pP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34 часа</w:t>
      </w:r>
    </w:p>
    <w:p w:rsidR="006410AC" w:rsidRDefault="006410AC" w:rsidP="006410AC">
      <w:pPr>
        <w:rPr>
          <w:sz w:val="28"/>
          <w:szCs w:val="28"/>
        </w:rPr>
      </w:pPr>
    </w:p>
    <w:p w:rsidR="006410AC" w:rsidRDefault="006410AC" w:rsidP="006410AC">
      <w:pPr>
        <w:rPr>
          <w:sz w:val="28"/>
          <w:szCs w:val="28"/>
        </w:rPr>
      </w:pP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>Учебный год 2022-2023</w:t>
      </w:r>
    </w:p>
    <w:p w:rsidR="006410AC" w:rsidRDefault="006410AC" w:rsidP="006410AC">
      <w:pPr>
        <w:rPr>
          <w:sz w:val="28"/>
          <w:szCs w:val="28"/>
        </w:rPr>
      </w:pPr>
    </w:p>
    <w:p w:rsidR="006410AC" w:rsidRDefault="006410AC" w:rsidP="006410AC">
      <w:pPr>
        <w:rPr>
          <w:sz w:val="28"/>
          <w:szCs w:val="28"/>
        </w:rPr>
      </w:pPr>
    </w:p>
    <w:p w:rsidR="006410AC" w:rsidRDefault="006410AC" w:rsidP="006410AC">
      <w:pPr>
        <w:rPr>
          <w:sz w:val="28"/>
          <w:szCs w:val="28"/>
        </w:rPr>
      </w:pPr>
      <w:r>
        <w:rPr>
          <w:sz w:val="28"/>
          <w:szCs w:val="28"/>
        </w:rPr>
        <w:t>Руководитель: Дьякон Сергей Ильич.</w:t>
      </w: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rPr>
          <w:b/>
        </w:rPr>
      </w:pPr>
      <w:r>
        <w:rPr>
          <w:b/>
        </w:rPr>
        <w:lastRenderedPageBreak/>
        <w:t>34 часа из расчета 1 час в неделю.</w:t>
      </w:r>
    </w:p>
    <w:p w:rsidR="006410AC" w:rsidRDefault="006410AC" w:rsidP="006410AC">
      <w:pPr>
        <w:jc w:val="both"/>
        <w:rPr>
          <w:b/>
        </w:rPr>
      </w:pPr>
    </w:p>
    <w:p w:rsidR="006410AC" w:rsidRDefault="006410AC" w:rsidP="006410AC">
      <w:pPr>
        <w:jc w:val="both"/>
      </w:pPr>
      <w:r>
        <w:rPr>
          <w:b/>
        </w:rPr>
        <w:t>1.Основы миттельшпиля.</w:t>
      </w:r>
      <w:r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6410AC" w:rsidRDefault="006410AC" w:rsidP="006410AC">
      <w:pPr>
        <w:jc w:val="both"/>
        <w:rPr>
          <w:b/>
          <w:i/>
          <w:iCs/>
        </w:rPr>
      </w:pPr>
      <w:r>
        <w:rPr>
          <w:b/>
          <w:i/>
          <w:iCs/>
        </w:rPr>
        <w:t>Дидактические задания</w:t>
      </w:r>
    </w:p>
    <w:p w:rsidR="006410AC" w:rsidRDefault="006410AC" w:rsidP="006410AC">
      <w:pPr>
        <w:numPr>
          <w:ilvl w:val="0"/>
          <w:numId w:val="1"/>
        </w:numPr>
        <w:jc w:val="both"/>
      </w:pPr>
      <w:r>
        <w:t>“Выигрыш материала”. Надо провести типичный тактический прием, либо комбинацию, и остаться с лишним материалом.</w:t>
      </w:r>
    </w:p>
    <w:p w:rsidR="006410AC" w:rsidRDefault="006410AC" w:rsidP="006410AC">
      <w:pPr>
        <w:numPr>
          <w:ilvl w:val="0"/>
          <w:numId w:val="1"/>
        </w:numPr>
        <w:jc w:val="both"/>
      </w:pPr>
      <w:r>
        <w:t>“Мат в 3 хода”. Здесь требуется пожертвовать материал и объявить красивый мат в 3 хода.</w:t>
      </w:r>
    </w:p>
    <w:p w:rsidR="006410AC" w:rsidRDefault="006410AC" w:rsidP="006410AC">
      <w:pPr>
        <w:numPr>
          <w:ilvl w:val="0"/>
          <w:numId w:val="1"/>
        </w:numPr>
        <w:jc w:val="both"/>
      </w:pPr>
      <w:r>
        <w:t>“Сделай ничью” Нужно пожертвовать материал и добиться ничьей.</w:t>
      </w:r>
    </w:p>
    <w:p w:rsidR="006410AC" w:rsidRDefault="006410AC" w:rsidP="006410AC">
      <w:pPr>
        <w:jc w:val="both"/>
      </w:pPr>
      <w:r>
        <w:rPr>
          <w:b/>
        </w:rPr>
        <w:t>2.Основы эндшпиля.</w:t>
      </w:r>
      <w:r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>
        <w:t>Матование</w:t>
      </w:r>
      <w:proofErr w:type="spellEnd"/>
      <w:r>
        <w:t xml:space="preserve"> двумя слонами (простые случаи). </w:t>
      </w:r>
      <w:proofErr w:type="spellStart"/>
      <w:r>
        <w:t>Матование</w:t>
      </w:r>
      <w:proofErr w:type="spellEnd"/>
      <w: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6410AC" w:rsidRDefault="006410AC" w:rsidP="006410AC">
      <w:pPr>
        <w:jc w:val="both"/>
        <w:rPr>
          <w:b/>
          <w:i/>
          <w:iCs/>
        </w:rPr>
      </w:pPr>
      <w:r>
        <w:rPr>
          <w:b/>
          <w:i/>
          <w:iCs/>
        </w:rPr>
        <w:t>Дидактические задания</w:t>
      </w:r>
    </w:p>
    <w:p w:rsidR="006410AC" w:rsidRDefault="006410AC" w:rsidP="006410AC">
      <w:pPr>
        <w:numPr>
          <w:ilvl w:val="0"/>
          <w:numId w:val="2"/>
        </w:numPr>
        <w:jc w:val="both"/>
      </w:pPr>
      <w:r>
        <w:t xml:space="preserve">“Мат в 2 хода”. Белые начинают и дают черным мат в 2 хода. “Мат в 3 хода”. Белые начинают и дают черным мат в 3 хода. “Выигрыш фигуры”. </w:t>
      </w:r>
    </w:p>
    <w:p w:rsidR="006410AC" w:rsidRDefault="006410AC" w:rsidP="006410AC">
      <w:pPr>
        <w:numPr>
          <w:ilvl w:val="0"/>
          <w:numId w:val="2"/>
        </w:numPr>
        <w:jc w:val="both"/>
      </w:pPr>
      <w:r>
        <w:t>“Квадрат”. Надо определить, удастся ли провести пешку в ферзи.</w:t>
      </w:r>
    </w:p>
    <w:p w:rsidR="006410AC" w:rsidRDefault="006410AC" w:rsidP="006410AC">
      <w:pPr>
        <w:numPr>
          <w:ilvl w:val="0"/>
          <w:numId w:val="2"/>
        </w:numPr>
        <w:jc w:val="both"/>
      </w:pPr>
      <w:r>
        <w:t>“Проведи пешку в ферзи”. Тут требуется провести пешку в ферзи.</w:t>
      </w:r>
    </w:p>
    <w:p w:rsidR="006410AC" w:rsidRDefault="006410AC" w:rsidP="006410AC">
      <w:pPr>
        <w:numPr>
          <w:ilvl w:val="0"/>
          <w:numId w:val="2"/>
        </w:numPr>
        <w:jc w:val="both"/>
      </w:pPr>
      <w:r>
        <w:t>“Выигрыш или ничья?”. Здесь нужно определить, выиграно ли данное положение.</w:t>
      </w:r>
    </w:p>
    <w:p w:rsidR="006410AC" w:rsidRDefault="006410AC" w:rsidP="006410AC">
      <w:pPr>
        <w:numPr>
          <w:ilvl w:val="0"/>
          <w:numId w:val="2"/>
        </w:numPr>
        <w:jc w:val="both"/>
      </w:pPr>
      <w: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6410AC" w:rsidRDefault="006410AC" w:rsidP="006410AC">
      <w:pPr>
        <w:numPr>
          <w:ilvl w:val="0"/>
          <w:numId w:val="2"/>
        </w:numPr>
        <w:jc w:val="both"/>
      </w:pPr>
      <w:r>
        <w:t>“Путь к ничьей”. Точной игрой надо добиться ничьей.</w:t>
      </w:r>
    </w:p>
    <w:p w:rsidR="006410AC" w:rsidRDefault="006410AC" w:rsidP="006410A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 концу четвертого года обучения дети должны знать:</w:t>
      </w:r>
    </w:p>
    <w:p w:rsidR="006410AC" w:rsidRDefault="006410AC" w:rsidP="006410AC">
      <w:pPr>
        <w:numPr>
          <w:ilvl w:val="0"/>
          <w:numId w:val="3"/>
        </w:numPr>
        <w:jc w:val="both"/>
      </w:pPr>
      <w:r>
        <w:t>принципы игры в дебюте;</w:t>
      </w:r>
    </w:p>
    <w:p w:rsidR="006410AC" w:rsidRDefault="006410AC" w:rsidP="006410AC">
      <w:pPr>
        <w:numPr>
          <w:ilvl w:val="0"/>
          <w:numId w:val="3"/>
        </w:numPr>
        <w:jc w:val="both"/>
      </w:pPr>
      <w:r>
        <w:t>основные тактические приемы;</w:t>
      </w:r>
    </w:p>
    <w:p w:rsidR="006410AC" w:rsidRDefault="006410AC" w:rsidP="006410AC">
      <w:pPr>
        <w:numPr>
          <w:ilvl w:val="0"/>
          <w:numId w:val="3"/>
        </w:numPr>
        <w:jc w:val="both"/>
      </w:pPr>
      <w:r>
        <w:t>что означают термины: дебют, миттельшпиль, эндшпиль, темп, оппозиция, ключевые поля.</w:t>
      </w:r>
    </w:p>
    <w:p w:rsidR="006410AC" w:rsidRDefault="006410AC" w:rsidP="006410A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 концу  четвертого года обучения дети должны уметь:</w:t>
      </w:r>
    </w:p>
    <w:p w:rsidR="006410AC" w:rsidRDefault="006410AC" w:rsidP="006410AC">
      <w:pPr>
        <w:numPr>
          <w:ilvl w:val="0"/>
          <w:numId w:val="4"/>
        </w:numPr>
        <w:jc w:val="both"/>
      </w:pPr>
      <w:r>
        <w:t>грамотно располагать шахматные фигуры в дебюте; находить несложные тактические удары и проводить комбинации;</w:t>
      </w:r>
    </w:p>
    <w:p w:rsidR="006410AC" w:rsidRDefault="006410AC" w:rsidP="006410AC">
      <w:pPr>
        <w:numPr>
          <w:ilvl w:val="0"/>
          <w:numId w:val="4"/>
        </w:numPr>
        <w:jc w:val="both"/>
      </w:pPr>
      <w:r>
        <w:t>точно разыгрывать простейшие окончания.</w:t>
      </w: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rPr>
          <w:b/>
          <w:bCs/>
          <w:i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  <w:r>
        <w:rPr>
          <w:b/>
        </w:rPr>
        <w:t xml:space="preserve">      (34 часа)</w:t>
      </w:r>
    </w:p>
    <w:tbl>
      <w:tblPr>
        <w:tblW w:w="95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134"/>
        <w:gridCol w:w="5954"/>
        <w:gridCol w:w="1560"/>
      </w:tblGrid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 часов</w:t>
            </w:r>
          </w:p>
        </w:tc>
      </w:tr>
      <w:tr w:rsidR="006410AC" w:rsidTr="006410AC">
        <w:trPr>
          <w:cantSplit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  <w:rPr>
                <w:b/>
              </w:rPr>
            </w:pPr>
            <w:r>
              <w:rPr>
                <w:b/>
              </w:rPr>
              <w:t>Основы миттельшпиля (30ч.)</w:t>
            </w:r>
          </w:p>
        </w:tc>
      </w:tr>
      <w:tr w:rsidR="006410AC" w:rsidTr="006410AC">
        <w:trPr>
          <w:trHeight w:val="22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ind w:firstLine="9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02.09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Общие рекомендации о том, как играть в миттельшпиле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ind w:firstLine="9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09.09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Связка в миттельшпиле. Двойной удар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16.09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 xml:space="preserve">Открытое нападение. Открытый шах. Двойной шах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23.09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задания “Выигрыш материала”.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30.10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07.10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14.10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Темы связки, “рентгена”, перекрытия.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Другие темы комбинаций и сочетание тематических приемов.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roofErr w:type="spellStart"/>
            <w:r>
              <w:t>Патовые</w:t>
            </w:r>
            <w:proofErr w:type="spellEnd"/>
            <w:r>
              <w:t xml:space="preserve"> комбинации. Комбинации на вечный шах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задания “Сделай ничью”.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Классическое наследие. “Бессмертная” партия. “Вечнозеленая” партия.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09.12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Ладья против ладьи. Ферзь против ферзя. Ферзь против ладьи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16.12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13.01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20.01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roofErr w:type="spellStart"/>
            <w:r>
              <w:t>Матование</w:t>
            </w:r>
            <w:proofErr w:type="spellEnd"/>
            <w:r>
              <w:t xml:space="preserve"> двумя слонами (простые случаи).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27.01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roofErr w:type="spellStart"/>
            <w:r>
              <w:t>Матование</w:t>
            </w:r>
            <w:proofErr w:type="spellEnd"/>
            <w:r>
              <w:t xml:space="preserve"> слоном и конем (простые случаи)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03.02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10.02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17.02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03.03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C" w:rsidRDefault="006410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10.03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C" w:rsidRDefault="006410AC">
            <w:pPr>
              <w:jc w:val="center"/>
            </w:pP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17.03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31.03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07.04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14.04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21.04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 xml:space="preserve">Удивительные ничейные положения. Два коня против </w:t>
            </w:r>
            <w:r>
              <w:lastRenderedPageBreak/>
              <w:t>короля. Слон и пешка против короля. Конь и пешка против короля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lastRenderedPageBreak/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28.04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Решение заданий. Игровая практика.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  <w:rPr>
                <w:b/>
              </w:rPr>
            </w:pPr>
            <w:r>
              <w:rPr>
                <w:b/>
              </w:rPr>
              <w:t>Основы эндшпиля (2ч.)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05.05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Общие рекомендации о том, как играть в эндшпиле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12.05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  <w:rPr>
                <w:b/>
              </w:rPr>
            </w:pPr>
            <w:r>
              <w:rPr>
                <w:b/>
              </w:rPr>
              <w:t>Повторение (2ч.)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spacing w:before="2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Повторение программного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spacing w:before="2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26.05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r>
              <w:t>Игровая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C" w:rsidRDefault="006410AC">
            <w:pPr>
              <w:jc w:val="center"/>
            </w:pPr>
            <w:r>
              <w:t>1</w:t>
            </w:r>
          </w:p>
        </w:tc>
      </w:tr>
      <w:tr w:rsidR="006410AC" w:rsidTr="006410AC">
        <w:trPr>
          <w:trHeight w:val="2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C" w:rsidRDefault="006410AC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C" w:rsidRDefault="006410A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C" w:rsidRDefault="006410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C" w:rsidRDefault="006410AC">
            <w:pPr>
              <w:jc w:val="center"/>
            </w:pPr>
          </w:p>
        </w:tc>
      </w:tr>
    </w:tbl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spacing w:line="259" w:lineRule="auto"/>
        <w:ind w:left="1760" w:right="1200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rPr>
          <w:b/>
          <w:bCs/>
          <w:i/>
        </w:rPr>
      </w:pPr>
    </w:p>
    <w:p w:rsidR="006410AC" w:rsidRDefault="006410AC" w:rsidP="006410AC">
      <w:pPr>
        <w:rPr>
          <w:spacing w:val="-2"/>
          <w:sz w:val="28"/>
          <w:szCs w:val="28"/>
        </w:rPr>
      </w:pPr>
    </w:p>
    <w:p w:rsidR="006410AC" w:rsidRDefault="006410AC" w:rsidP="006410AC">
      <w:pPr>
        <w:rPr>
          <w:spacing w:val="-2"/>
          <w:sz w:val="28"/>
          <w:szCs w:val="28"/>
        </w:rPr>
      </w:pPr>
    </w:p>
    <w:p w:rsidR="006410AC" w:rsidRDefault="006410AC" w:rsidP="006410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Материально-техническое обеспечение</w:t>
      </w: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</w:p>
    <w:p w:rsidR="006410AC" w:rsidRDefault="006410AC" w:rsidP="006410A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шахматные доски с набором шахматных фигур </w:t>
      </w:r>
    </w:p>
    <w:p w:rsidR="006410AC" w:rsidRDefault="006410AC" w:rsidP="006410A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демонстрационная шахматная доска с набором магнитных фигур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</w:t>
      </w:r>
    </w:p>
    <w:p w:rsidR="006410AC" w:rsidRDefault="006410AC" w:rsidP="006410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</w:p>
    <w:p w:rsidR="006410AC" w:rsidRDefault="006410AC" w:rsidP="006410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шаблоны горизонтальных, вертикальных и диагональных линий</w:t>
      </w:r>
    </w:p>
    <w:p w:rsidR="006410AC" w:rsidRDefault="006410AC" w:rsidP="006410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</w:t>
      </w:r>
    </w:p>
    <w:p w:rsidR="006410AC" w:rsidRDefault="006410AC" w:rsidP="006410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мешочек, сшитый из любой ткани для игры «Волшебный мешочек»        </w:t>
      </w:r>
      <w:r>
        <w:rPr>
          <w:rStyle w:val="apple-converted-space"/>
          <w:color w:val="000000"/>
        </w:rPr>
        <w:t> </w:t>
      </w:r>
    </w:p>
    <w:p w:rsidR="006410AC" w:rsidRDefault="006410AC" w:rsidP="006410AC">
      <w:pPr>
        <w:pStyle w:val="a3"/>
        <w:spacing w:before="0" w:beforeAutospacing="0" w:after="0" w:afterAutospacing="0"/>
        <w:ind w:right="1040"/>
        <w:rPr>
          <w:color w:val="000000"/>
        </w:rPr>
      </w:pPr>
      <w:r>
        <w:rPr>
          <w:color w:val="000000"/>
        </w:rPr>
        <w:t>     </w:t>
      </w:r>
    </w:p>
    <w:p w:rsidR="006410AC" w:rsidRDefault="006410AC" w:rsidP="006410AC">
      <w:pPr>
        <w:pStyle w:val="a3"/>
        <w:spacing w:before="0" w:beforeAutospacing="0" w:after="0" w:afterAutospacing="0"/>
        <w:ind w:right="1040"/>
        <w:rPr>
          <w:color w:val="000000"/>
        </w:rPr>
      </w:pPr>
    </w:p>
    <w:p w:rsidR="006410AC" w:rsidRDefault="006410AC" w:rsidP="006410AC">
      <w:pPr>
        <w:rPr>
          <w:b/>
          <w:i/>
        </w:rPr>
      </w:pPr>
      <w:proofErr w:type="spellStart"/>
      <w:r>
        <w:rPr>
          <w:b/>
          <w:i/>
        </w:rPr>
        <w:t>Учебно</w:t>
      </w:r>
      <w:proofErr w:type="spellEnd"/>
      <w:r>
        <w:rPr>
          <w:b/>
          <w:i/>
        </w:rPr>
        <w:t xml:space="preserve"> – методическое обеспечение</w:t>
      </w:r>
    </w:p>
    <w:p w:rsidR="006410AC" w:rsidRDefault="006410AC" w:rsidP="006410AC">
      <w:pPr>
        <w:ind w:firstLine="510"/>
        <w:jc w:val="center"/>
        <w:rPr>
          <w:b/>
          <w:i/>
        </w:rPr>
      </w:pPr>
    </w:p>
    <w:p w:rsidR="006410AC" w:rsidRDefault="006410AC" w:rsidP="006410AC">
      <w:pPr>
        <w:numPr>
          <w:ilvl w:val="1"/>
          <w:numId w:val="5"/>
        </w:numPr>
        <w:tabs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>
        <w:rPr>
          <w:rStyle w:val="apple-style-span"/>
          <w:color w:val="000000"/>
        </w:rPr>
        <w:t>Сухин</w:t>
      </w:r>
      <w:proofErr w:type="spellEnd"/>
      <w:r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</w:t>
      </w:r>
      <w:proofErr w:type="gramStart"/>
      <w:r>
        <w:rPr>
          <w:rStyle w:val="apple-style-span"/>
          <w:color w:val="000000"/>
        </w:rPr>
        <w:t>с</w:t>
      </w:r>
      <w:proofErr w:type="gramEnd"/>
      <w:r>
        <w:rPr>
          <w:rStyle w:val="apple-style-span"/>
          <w:color w:val="000000"/>
        </w:rPr>
        <w:t>.</w:t>
      </w:r>
    </w:p>
    <w:p w:rsidR="006410AC" w:rsidRDefault="006410AC" w:rsidP="006410AC">
      <w:pPr>
        <w:numPr>
          <w:ilvl w:val="1"/>
          <w:numId w:val="5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6410AC" w:rsidRDefault="006410AC" w:rsidP="006410AC">
      <w:pPr>
        <w:numPr>
          <w:ilvl w:val="1"/>
          <w:numId w:val="5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 Шахматы, первый год, или Учусь и учу: Пособие для учителя – Обнинск: Духовное возрождение, 1999.</w:t>
      </w:r>
    </w:p>
    <w:p w:rsidR="006410AC" w:rsidRDefault="006410AC" w:rsidP="006410AC">
      <w:pPr>
        <w:numPr>
          <w:ilvl w:val="1"/>
          <w:numId w:val="5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 Шахматы, второй год, или Играем и выигрываем. - 2002.</w:t>
      </w:r>
    </w:p>
    <w:p w:rsidR="006410AC" w:rsidRDefault="006410AC" w:rsidP="006410AC">
      <w:pPr>
        <w:numPr>
          <w:ilvl w:val="1"/>
          <w:numId w:val="5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 Шахматы, второй год, или Учусь и учу. - 2002.</w:t>
      </w:r>
    </w:p>
    <w:p w:rsidR="006410AC" w:rsidRDefault="006410AC" w:rsidP="006410AC">
      <w:pPr>
        <w:numPr>
          <w:ilvl w:val="1"/>
          <w:numId w:val="5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И.Г. Шахматы, третий год, или Тайны королевской игры.- Обнинск: Духовное возрождение, 2004.</w:t>
      </w:r>
    </w:p>
    <w:p w:rsidR="006410AC" w:rsidRDefault="006410AC" w:rsidP="006410AC">
      <w:pPr>
        <w:numPr>
          <w:ilvl w:val="1"/>
          <w:numId w:val="5"/>
        </w:numPr>
        <w:tabs>
          <w:tab w:val="num" w:pos="540"/>
        </w:tabs>
        <w:ind w:left="540" w:hanging="360"/>
        <w:jc w:val="both"/>
      </w:pPr>
      <w:proofErr w:type="spellStart"/>
      <w:r>
        <w:t>Сухин</w:t>
      </w:r>
      <w:proofErr w:type="spellEnd"/>
      <w:r>
        <w:t xml:space="preserve"> И.Г. Шахматы, третий год, или Учусь и учу.- Обнинск: Духовное возрождение, 2005.</w:t>
      </w:r>
    </w:p>
    <w:p w:rsidR="006410AC" w:rsidRDefault="006410AC" w:rsidP="006410AC">
      <w:pPr>
        <w:ind w:left="180"/>
        <w:jc w:val="both"/>
      </w:pPr>
    </w:p>
    <w:p w:rsidR="006410AC" w:rsidRDefault="006410AC" w:rsidP="006410AC">
      <w:pPr>
        <w:jc w:val="center"/>
        <w:rPr>
          <w:b/>
          <w:i/>
        </w:rPr>
      </w:pPr>
    </w:p>
    <w:p w:rsidR="006410AC" w:rsidRDefault="006410AC" w:rsidP="006410AC">
      <w:pPr>
        <w:rPr>
          <w:i/>
        </w:rPr>
      </w:pPr>
      <w:r>
        <w:rPr>
          <w:b/>
          <w:i/>
        </w:rPr>
        <w:t>Список литературы по программе</w:t>
      </w: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Сухин</w:t>
      </w:r>
      <w:proofErr w:type="spellEnd"/>
      <w:r>
        <w:rPr>
          <w:color w:val="000000"/>
        </w:rPr>
        <w:t xml:space="preserve"> И.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проф. обр. РФ. М..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ПОМАТУР.- 2000.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Сухин</w:t>
      </w:r>
      <w:proofErr w:type="spellEnd"/>
      <w:r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ACT. -2000.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Френе</w:t>
      </w:r>
      <w:proofErr w:type="spellEnd"/>
      <w:r>
        <w:rPr>
          <w:color w:val="000000"/>
        </w:rPr>
        <w:t xml:space="preserve"> С. Избранные педагогические сочинения, М.. Просвещение. -1990.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В.Хенкин, Куда идет король. М.. Молодая гвардия. -1979 .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Н.М. </w:t>
      </w:r>
      <w:proofErr w:type="gramStart"/>
      <w:r>
        <w:rPr>
          <w:color w:val="000000"/>
        </w:rPr>
        <w:t>Петрушина</w:t>
      </w:r>
      <w:proofErr w:type="gramEnd"/>
      <w:r>
        <w:rPr>
          <w:color w:val="000000"/>
        </w:rPr>
        <w:t xml:space="preserve"> Шахматный учебник для детей. Серия «Шахматы».- Ростов-на-Дону:   «Феникс», 2002. - 224с.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Шахматный словарь. М. </w:t>
      </w:r>
      <w:proofErr w:type="spellStart"/>
      <w:r>
        <w:rPr>
          <w:color w:val="000000"/>
        </w:rPr>
        <w:t>ФиС</w:t>
      </w:r>
      <w:proofErr w:type="spellEnd"/>
      <w:r>
        <w:rPr>
          <w:color w:val="000000"/>
        </w:rPr>
        <w:t>. -1968.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 xml:space="preserve"> М. </w:t>
      </w:r>
      <w:proofErr w:type="spellStart"/>
      <w:r>
        <w:rPr>
          <w:color w:val="000000"/>
        </w:rPr>
        <w:t>Детгиз</w:t>
      </w:r>
      <w:proofErr w:type="spellEnd"/>
      <w:r>
        <w:rPr>
          <w:color w:val="000000"/>
        </w:rPr>
        <w:t>, - 1960.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Шахматы. Энциклопедический словарь. М.Советская энциклопедия.. -1990.</w:t>
      </w:r>
    </w:p>
    <w:p w:rsidR="006410AC" w:rsidRDefault="006410AC" w:rsidP="006410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Шахматы - школе. М. Педагогика. -1990.</w:t>
      </w:r>
    </w:p>
    <w:p w:rsidR="006410AC" w:rsidRDefault="006410AC" w:rsidP="006410A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В. Костров, Д.Давлетов Шахматы Санкт-Петербург -2001.</w:t>
      </w:r>
    </w:p>
    <w:p w:rsidR="006410AC" w:rsidRDefault="006410AC" w:rsidP="006410A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В.Хенкин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Шахматы для начинающих М.: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».- 2002.</w:t>
      </w:r>
    </w:p>
    <w:p w:rsidR="006410AC" w:rsidRDefault="006410AC" w:rsidP="006410A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О.Подгаец Прогулки 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черным и белым полям. МП «Каисса плюс» Днепропетровск. – 1996.</w:t>
      </w:r>
    </w:p>
    <w:p w:rsidR="006410AC" w:rsidRDefault="006410AC" w:rsidP="006410A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И.А.Бареев</w:t>
      </w:r>
      <w:proofErr w:type="spellEnd"/>
      <w:r>
        <w:rPr>
          <w:color w:val="000000"/>
        </w:rPr>
        <w:t xml:space="preserve"> Гроссмейстеры детского сада. Москва. -  1995. </w:t>
      </w:r>
    </w:p>
    <w:p w:rsidR="006410AC" w:rsidRDefault="006410AC" w:rsidP="006410A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>
        <w:t>Юдович</w:t>
      </w:r>
      <w:proofErr w:type="spellEnd"/>
      <w:r>
        <w:t xml:space="preserve"> М.</w:t>
      </w:r>
      <w:r>
        <w:rPr>
          <w:rStyle w:val="apple-converted-space"/>
          <w:color w:val="000000"/>
        </w:rPr>
        <w:t> </w:t>
      </w:r>
      <w:r>
        <w:t>Зани</w:t>
      </w:r>
      <w:r>
        <w:rPr>
          <w:sz w:val="28"/>
          <w:szCs w:val="28"/>
        </w:rPr>
        <w:t>мательные ш</w:t>
      </w:r>
      <w:r>
        <w:t xml:space="preserve">ахматы. М. </w:t>
      </w:r>
      <w:proofErr w:type="spellStart"/>
      <w:r>
        <w:t>ФиС</w:t>
      </w:r>
      <w:proofErr w:type="spellEnd"/>
      <w:r>
        <w:t>. -  1966.</w:t>
      </w:r>
    </w:p>
    <w:p w:rsidR="006410AC" w:rsidRDefault="006410AC" w:rsidP="006410AC">
      <w:pPr>
        <w:pStyle w:val="a3"/>
        <w:spacing w:before="0" w:beforeAutospacing="0" w:after="0" w:afterAutospacing="0"/>
        <w:ind w:left="540"/>
        <w:jc w:val="both"/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spacing w:line="259" w:lineRule="auto"/>
        <w:ind w:left="1760" w:right="1200"/>
        <w:jc w:val="center"/>
        <w:rPr>
          <w:b/>
          <w:bCs/>
          <w:i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jc w:val="center"/>
        <w:rPr>
          <w:b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:rsidR="006410AC" w:rsidRDefault="006410AC" w:rsidP="006410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0AC" w:rsidRDefault="006410AC" w:rsidP="006410AC">
      <w:pPr>
        <w:jc w:val="center"/>
        <w:rPr>
          <w:b/>
          <w:i/>
        </w:rPr>
      </w:pPr>
    </w:p>
    <w:p w:rsidR="006410AC" w:rsidRDefault="006410AC" w:rsidP="006410AC">
      <w:pPr>
        <w:jc w:val="center"/>
        <w:rPr>
          <w:b/>
          <w:i/>
        </w:rPr>
      </w:pPr>
    </w:p>
    <w:p w:rsidR="006410AC" w:rsidRDefault="006410AC" w:rsidP="006410AC">
      <w:pPr>
        <w:spacing w:line="259" w:lineRule="auto"/>
        <w:ind w:left="1760" w:right="1200"/>
        <w:rPr>
          <w:b/>
          <w:bCs/>
          <w:i/>
        </w:rPr>
      </w:pPr>
    </w:p>
    <w:p w:rsidR="00626851" w:rsidRDefault="00626851"/>
    <w:sectPr w:rsidR="00626851" w:rsidSect="0062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AC"/>
    <w:rsid w:val="00626851"/>
    <w:rsid w:val="0064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1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6410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0AC"/>
  </w:style>
  <w:style w:type="character" w:customStyle="1" w:styleId="apple-style-span">
    <w:name w:val="apple-style-span"/>
    <w:basedOn w:val="a0"/>
    <w:rsid w:val="00641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1270</Words>
  <Characters>7239</Characters>
  <Application>Microsoft Office Word</Application>
  <DocSecurity>0</DocSecurity>
  <Lines>60</Lines>
  <Paragraphs>16</Paragraphs>
  <ScaleCrop>false</ScaleCrop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2006-01-09T23:48:00Z</dcterms:created>
  <dcterms:modified xsi:type="dcterms:W3CDTF">2006-01-09T23:54:00Z</dcterms:modified>
</cp:coreProperties>
</file>